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56C19" w14:textId="064AF5C4" w:rsidR="00BB4A38" w:rsidRDefault="00BB4A38" w:rsidP="00BB4A38">
      <w:pPr>
        <w:pStyle w:val="Title"/>
        <w:jc w:val="center"/>
      </w:pPr>
      <w:r>
        <w:t>Supporting Information</w:t>
      </w:r>
    </w:p>
    <w:p w14:paraId="11EB5585" w14:textId="0C3C9BE6" w:rsidR="00BB4A38" w:rsidRPr="00786FA6" w:rsidRDefault="00BB4A38" w:rsidP="00BB4A38">
      <w:pPr>
        <w:pStyle w:val="Title"/>
        <w:rPr>
          <w:sz w:val="22"/>
          <w:szCs w:val="22"/>
        </w:rPr>
      </w:pPr>
      <w:r w:rsidRPr="00786FA6">
        <w:t xml:space="preserve">Modeling the transplacental transfer of </w:t>
      </w:r>
      <w:r>
        <w:t xml:space="preserve">small molecules: A case study on </w:t>
      </w:r>
      <w:r w:rsidRPr="00786FA6">
        <w:t>poly/</w:t>
      </w:r>
      <w:proofErr w:type="spellStart"/>
      <w:r w:rsidRPr="00786FA6">
        <w:t>perfluorinated</w:t>
      </w:r>
      <w:proofErr w:type="spellEnd"/>
      <w:r w:rsidRPr="00786FA6">
        <w:t xml:space="preserve"> substances (PFAS)</w:t>
      </w:r>
    </w:p>
    <w:p w14:paraId="7B6FBD15" w14:textId="77777777" w:rsidR="00BB4A38" w:rsidRDefault="00BB4A38" w:rsidP="00BB4A38">
      <w:r>
        <w:t>Dimitri Abrahamsson</w:t>
      </w:r>
      <w:r>
        <w:rPr>
          <w:vertAlign w:val="superscript"/>
        </w:rPr>
        <w:t>1</w:t>
      </w:r>
      <w:r>
        <w:t>, Adi Siddharth</w:t>
      </w:r>
      <w:r w:rsidRPr="00D2568F">
        <w:rPr>
          <w:vertAlign w:val="superscript"/>
        </w:rPr>
        <w:t>1</w:t>
      </w:r>
      <w:r>
        <w:t>, Joshua F. Robinson</w:t>
      </w:r>
      <w:r w:rsidRPr="00D2568F">
        <w:rPr>
          <w:vertAlign w:val="superscript"/>
        </w:rPr>
        <w:t>1</w:t>
      </w:r>
      <w:r>
        <w:t xml:space="preserve">, Anatoly </w:t>
      </w:r>
      <w:r w:rsidRPr="00213892">
        <w:t>Soshilov</w:t>
      </w:r>
      <w:r w:rsidRPr="00213892">
        <w:rPr>
          <w:vertAlign w:val="superscript"/>
        </w:rPr>
        <w:t>2</w:t>
      </w:r>
      <w:r>
        <w:t xml:space="preserve">, </w:t>
      </w:r>
      <w:r w:rsidRPr="00213892">
        <w:t>Sarah</w:t>
      </w:r>
      <w:r>
        <w:t xml:space="preserve"> Elmore</w:t>
      </w:r>
      <w:r w:rsidRPr="00D2568F">
        <w:rPr>
          <w:vertAlign w:val="superscript"/>
        </w:rPr>
        <w:t>2</w:t>
      </w:r>
      <w:r>
        <w:t>, Vincent Cogliano</w:t>
      </w:r>
      <w:r w:rsidRPr="00D2568F">
        <w:rPr>
          <w:vertAlign w:val="superscript"/>
        </w:rPr>
        <w:t>2</w:t>
      </w:r>
      <w:r>
        <w:t>,</w:t>
      </w:r>
      <w:r w:rsidRPr="000B307E">
        <w:t xml:space="preserve"> </w:t>
      </w:r>
      <w:r>
        <w:t>Carla Ng</w:t>
      </w:r>
      <w:r>
        <w:rPr>
          <w:vertAlign w:val="superscript"/>
        </w:rPr>
        <w:t>3</w:t>
      </w:r>
      <w:r>
        <w:t>, Elaine Khan</w:t>
      </w:r>
      <w:r w:rsidRPr="00D2568F">
        <w:rPr>
          <w:vertAlign w:val="superscript"/>
        </w:rPr>
        <w:t>2</w:t>
      </w:r>
      <w:r>
        <w:t>, Randolph Ashton</w:t>
      </w:r>
      <w:r>
        <w:rPr>
          <w:vertAlign w:val="superscript"/>
        </w:rPr>
        <w:t>4-6</w:t>
      </w:r>
      <w:r>
        <w:t xml:space="preserve">, </w:t>
      </w:r>
      <w:proofErr w:type="spellStart"/>
      <w:r>
        <w:t>Weihsueh</w:t>
      </w:r>
      <w:proofErr w:type="spellEnd"/>
      <w:r>
        <w:t xml:space="preserve"> Chiu</w:t>
      </w:r>
      <w:r>
        <w:rPr>
          <w:vertAlign w:val="superscript"/>
        </w:rPr>
        <w:t>7</w:t>
      </w:r>
      <w:r>
        <w:t>, Lauren Zeise</w:t>
      </w:r>
      <w:r w:rsidRPr="00D2568F">
        <w:rPr>
          <w:vertAlign w:val="superscript"/>
        </w:rPr>
        <w:t>2</w:t>
      </w:r>
      <w:r>
        <w:t xml:space="preserve"> and Tracey J. Woodruff*</w:t>
      </w:r>
      <w:r w:rsidRPr="00D2568F">
        <w:rPr>
          <w:vertAlign w:val="superscript"/>
        </w:rPr>
        <w:t>1</w:t>
      </w:r>
    </w:p>
    <w:p w14:paraId="08B5B835" w14:textId="77777777" w:rsidR="00BB4A38" w:rsidRDefault="00BB4A38" w:rsidP="00BB4A38">
      <w:r>
        <w:rPr>
          <w:vertAlign w:val="superscript"/>
        </w:rPr>
        <w:t>1</w:t>
      </w:r>
      <w:r w:rsidRPr="00027645">
        <w:t xml:space="preserve">Department of Obstetrics, Gynecology and Reproductive Sciences, Program on Reproductive Health and the Environment, University of California, San Francisco, </w:t>
      </w:r>
      <w:r w:rsidRPr="00C3334A">
        <w:t>490 Illinois Street,</w:t>
      </w:r>
      <w:r>
        <w:t xml:space="preserve"> S</w:t>
      </w:r>
      <w:r w:rsidRPr="00027645">
        <w:t xml:space="preserve">an Francisco, </w:t>
      </w:r>
      <w:r>
        <w:t>CA 94143</w:t>
      </w:r>
      <w:r w:rsidRPr="00027645">
        <w:t>, United States.</w:t>
      </w:r>
    </w:p>
    <w:p w14:paraId="3E687A2F" w14:textId="77777777" w:rsidR="00BB4A38" w:rsidRDefault="00BB4A38" w:rsidP="00BB4A38">
      <w:r>
        <w:rPr>
          <w:vertAlign w:val="superscript"/>
        </w:rPr>
        <w:t>2</w:t>
      </w:r>
      <w:r w:rsidRPr="001C1FA2">
        <w:t xml:space="preserve">California Environmental Protection Agency, </w:t>
      </w:r>
      <w:r>
        <w:t>Office for Environmental Health and Hazard Assessment</w:t>
      </w:r>
      <w:r w:rsidRPr="001C1FA2">
        <w:t xml:space="preserve">, </w:t>
      </w:r>
      <w:r>
        <w:t>1515 Clay St., Oakland, CA 94612</w:t>
      </w:r>
      <w:r w:rsidRPr="001C1FA2">
        <w:t xml:space="preserve">, </w:t>
      </w:r>
      <w:r>
        <w:t>United States</w:t>
      </w:r>
      <w:r w:rsidRPr="001C1FA2">
        <w:t>.</w:t>
      </w:r>
    </w:p>
    <w:p w14:paraId="49242801" w14:textId="77777777" w:rsidR="00BB4A38" w:rsidRDefault="00BB4A38" w:rsidP="00BB4A38">
      <w:r>
        <w:rPr>
          <w:vertAlign w:val="superscript"/>
        </w:rPr>
        <w:t>3</w:t>
      </w:r>
      <w:r>
        <w:t xml:space="preserve">Department of Civil and Environmental Engineering, University of Pittsburgh, </w:t>
      </w:r>
      <w:r w:rsidRPr="00D05538">
        <w:t>3700 O'Hara St, PA</w:t>
      </w:r>
      <w:r>
        <w:t xml:space="preserve"> </w:t>
      </w:r>
      <w:r w:rsidRPr="00D05538">
        <w:t>15261</w:t>
      </w:r>
      <w:r>
        <w:t>, United States.</w:t>
      </w:r>
    </w:p>
    <w:p w14:paraId="0B1F7A6B" w14:textId="77777777" w:rsidR="00BB4A38" w:rsidRDefault="00BB4A38" w:rsidP="00BB4A38">
      <w:r w:rsidRPr="009C70D3">
        <w:rPr>
          <w:vertAlign w:val="superscript"/>
        </w:rPr>
        <w:t>4</w:t>
      </w:r>
      <w:r>
        <w:t xml:space="preserve">Wisconsin Institute for Discovery, University of Wisconsin, Madison, </w:t>
      </w:r>
      <w:r w:rsidRPr="009C70D3">
        <w:t xml:space="preserve">330 N Orchard St, Madison, WI 53715 </w:t>
      </w:r>
      <w:r>
        <w:t>Wisconsin</w:t>
      </w:r>
    </w:p>
    <w:p w14:paraId="51A81C5C" w14:textId="77777777" w:rsidR="00BB4A38" w:rsidRDefault="00BB4A38" w:rsidP="00BB4A38">
      <w:r w:rsidRPr="009C70D3">
        <w:rPr>
          <w:vertAlign w:val="superscript"/>
        </w:rPr>
        <w:t>5</w:t>
      </w:r>
      <w:r>
        <w:t xml:space="preserve">The Stem Cell and Regenerative Medicine Center, University of Wisconsin, Madison, 1111 Highland Avenue, Madison, WI 53705 Wisconsin </w:t>
      </w:r>
    </w:p>
    <w:p w14:paraId="3954C5D2" w14:textId="77777777" w:rsidR="00BB4A38" w:rsidRDefault="00BB4A38" w:rsidP="00BB4A38">
      <w:r>
        <w:rPr>
          <w:vertAlign w:val="superscript"/>
        </w:rPr>
        <w:t>6</w:t>
      </w:r>
      <w:r w:rsidRPr="00D05538">
        <w:t>Department of Biomedical Engineering, University of Wisconsin</w:t>
      </w:r>
      <w:r>
        <w:t xml:space="preserve"> - </w:t>
      </w:r>
      <w:r w:rsidRPr="00D05538">
        <w:t>Madison, 1550 Engineering Drive, Madison, Wisconsin 53706, U</w:t>
      </w:r>
      <w:r>
        <w:t>nited States</w:t>
      </w:r>
    </w:p>
    <w:p w14:paraId="21C4A142" w14:textId="182259D9" w:rsidR="00BB4A38" w:rsidRDefault="00BB4A38" w:rsidP="00BB4A38">
      <w:r>
        <w:rPr>
          <w:vertAlign w:val="superscript"/>
        </w:rPr>
        <w:t>7</w:t>
      </w:r>
      <w:r w:rsidRPr="00F60D13">
        <w:t>Department of Veterinary Integrative Biosciences, College of Veterinary Medicine and Biomedical Sciences, Texas A&amp;M University, College Station, Texas 77843</w:t>
      </w:r>
      <w:r>
        <w:t>, United States.</w:t>
      </w:r>
    </w:p>
    <w:p w14:paraId="0F6B265D" w14:textId="77777777" w:rsidR="00BB4A38" w:rsidRDefault="00BB4A38" w:rsidP="00BB4A38">
      <w:r>
        <w:t>*</w:t>
      </w:r>
      <w:r w:rsidRPr="0034547B">
        <w:rPr>
          <w:b/>
          <w:bCs/>
        </w:rPr>
        <w:t>Corresponding author</w:t>
      </w:r>
      <w:r>
        <w:t xml:space="preserve">: Tracey J. Woodruff, </w:t>
      </w:r>
      <w:hyperlink r:id="rId4" w:history="1">
        <w:r w:rsidRPr="0076572D">
          <w:rPr>
            <w:rStyle w:val="Hyperlink"/>
          </w:rPr>
          <w:t>tracey.woodruff@ucsf.edu</w:t>
        </w:r>
      </w:hyperlink>
      <w:r>
        <w:t xml:space="preserve"> </w:t>
      </w:r>
    </w:p>
    <w:p w14:paraId="02C591CB" w14:textId="3A513A26" w:rsidR="00FE09F0" w:rsidRDefault="00FE09F0" w:rsidP="006A554A">
      <w:pPr>
        <w:pStyle w:val="Heading2"/>
      </w:pPr>
      <w:r>
        <w:lastRenderedPageBreak/>
        <w:t>Text S1: Machine learning approaches and parametrization</w:t>
      </w:r>
    </w:p>
    <w:p w14:paraId="5A45C0CA" w14:textId="2215C6A2" w:rsidR="00FE09F0" w:rsidRDefault="00FE09F0" w:rsidP="00FE09F0">
      <w:pPr>
        <w:pStyle w:val="Heading3"/>
      </w:pPr>
      <w:r>
        <w:t>Support Vector Machine</w:t>
      </w:r>
    </w:p>
    <w:p w14:paraId="4101E6B7" w14:textId="77777777" w:rsidR="00FE09F0" w:rsidRDefault="00FE09F0" w:rsidP="00FE09F0">
      <w:pPr>
        <w:ind w:firstLine="720"/>
      </w:pPr>
      <w:r w:rsidRPr="00786FA6">
        <w:t xml:space="preserve">SVM </w:t>
      </w:r>
      <w:r>
        <w:t xml:space="preserve">is a supervised machine learning model that uses the </w:t>
      </w:r>
      <w:proofErr w:type="spellStart"/>
      <w:r>
        <w:t>Vapnik-Chervonenkis</w:t>
      </w:r>
      <w:proofErr w:type="spellEnd"/>
      <w:r>
        <w:t xml:space="preserve"> theory </w:t>
      </w:r>
      <w:r>
        <w:fldChar w:fldCharType="begin"/>
      </w:r>
      <w:r>
        <w:instrText xml:space="preserve"> ADDIN ZOTERO_ITEM CSL_CITATION {"citationID":"eN4pI6yb","properties":{"formattedCitation":"\\super 54,55\\nosupersub{}","plainCitation":"54,55","noteIndex":0},"citationItems":[{"id":555,"uris":["http://zotero.org/users/local/WDtcWWSj/items/W3C9W8G4"],"uri":["http://zotero.org/users/local/WDtcWWSj/items/W3C9W8G4"],"itemData":{"id":555,"type":"book","abstract":"The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of","collection-title":"Information Science and Statistics","edition":"2","event-place":"New York","ISBN":"978-0-387-98780-4","language":"en","note":"DOI: 10.1007/978-1-4757-3264-1","publisher":"Springer-Verlag","publisher-place":"New York","source":"www.springer.com","title":"The Nature of Statistical Learning Theory","URL":"https://www.springer.com/gp/book/9780387987804","author":[{"family":"Vapnik","given":"Vladimir"}],"accessed":{"date-parts":[["2021",2,24]]},"issued":{"date-parts":[["2000"]]}}},{"id":490,"uris":["http://zotero.org/users/local/WDtcWWSj/items/SVFTNMAG"],"uri":["http://zotero.org/users/local/WDtcWWSj/items/SVFTNMAG"],"itemData":{"id":490,"type":"article-journal","abstract":"A new regression technique based on Vapnik's concept of support vectors is introduced. We compare support vector regression (SVR) with a committee regression technique (bagging) based on regression trees and ridge regression done in feature space. On the basis of these experiments, it is expected that SVR will have advantages in high dimensionality space because SVR optimization does not depend on the dimensionality of the input space.","language":"en","page":"7","source":"Zotero","title":"Support Vector Regression Machines","author":[{"family":"Drucker","given":"Harris"},{"family":"Burges","given":"Christopher J C"},{"family":"Kaufman","given":"Linda"},{"family":"Smola","given":"Alex J"},{"family":"Vapnik","given":"Vladimir"}]}}],"schema":"https://github.com/citation-style-language/schema/raw/master/csl-citation.json"} </w:instrText>
      </w:r>
      <w:r>
        <w:fldChar w:fldCharType="separate"/>
      </w:r>
      <w:r w:rsidRPr="00C92B3D">
        <w:rPr>
          <w:rFonts w:cs="Times New Roman"/>
          <w:vertAlign w:val="superscript"/>
        </w:rPr>
        <w:t>54,55</w:t>
      </w:r>
      <w:r>
        <w:fldChar w:fldCharType="end"/>
      </w:r>
      <w:r>
        <w:t xml:space="preserve"> to generate the optimal hyperplane, also known as decision surface, that separates in the best possible way objects with two or more labels.</w:t>
      </w:r>
      <w:r>
        <w:fldChar w:fldCharType="begin"/>
      </w:r>
      <w:r>
        <w:instrText xml:space="preserve"> ADDIN ZOTERO_ITEM CSL_CITATION {"citationID":"u9l7FUVO","properties":{"formattedCitation":"\\super 52\\uc0\\u8211{}55\\nosupersub{}","plainCitation":"52–55","noteIndex":0},"citationItems":[{"id":553,"uris":["http://zotero.org/users/local/WDtcWWSj/items/7LUG2Z8Q"],"uri":["http://zotero.org/users/local/WDtcWWSj/items/7LUG2Z8Q"],"itemData":{"id":553,"type":"article-journal","abstract":"The tetrahydroimidazo[4,5,1-jk][1,4]benzodiazepinone (TIBO) derivatives, as non-nucleoside reverse transcriptase inhibitors, acquire a significant place in the treatment of the infections by the HIV. In the present paper, the support vector machines (SVM) are used to develop quantitative relationships between the anti-HIV activity and four molecular descriptors of 82 TIBO derivatives. The results obtained by SVM give good statistical results compared to those given by multiple linear regressions and artificial neural networks. The contribution of each descriptor to structure-activity relationships was evaluated. It indicates the importance of the hydrophobic parameter. The proposed method can be successfully used to predict the anti-HIV of TIBO derivatives with only four molecular descriptors which can be calculated directly from molecular structure alone.","container-title":"European Journal of Medicinal Chemistry","DOI":"10.1016/j.ejmech.2010.01.002","ISSN":"0223-5234","issue":"4","journalAbbreviation":"European Journal of Medicinal Chemistry","language":"en","page":"1590-1597","source":"ScienceDirect","title":"Support vector machines: Development of QSAR models for predicting anti-HIV-1 activity of TIBO derivatives","title-short":"Support vector machines","volume":"45","author":[{"family":"Darnag","given":"Rachid"},{"family":"Mostapha Mazouz","given":"E. L."},{"family":"Schmitzer","given":"Andreea"},{"family":"Villemin","given":"Didier"},{"family":"Jarid","given":"Abdellah"},{"family":"Cherqaoui","given":"Driss"}],"issued":{"date-parts":[["2010",4,1]]}}},{"id":551,"uris":["http://zotero.org/users/local/WDtcWWSj/items/SZNHJ4ZP"],"uri":["http://zotero.org/users/local/WDtcWWSj/items/SZNHJ4ZP"],"itemData":{"id":551,"type":"article-journal","abstract":"Introduction: Novel drug discovery remains an enormous challenge, with various computer-aided drug design (CADD) approaches having been widely employed for this purpose. CADD, specifically the commonly used support vector machines (SVMs), can employ machine learning techniques. SVMs and their variations offer numerous drug discovery applications, which range from the classification of substances (as active or inactive) to the construction of regression models and the ranking/virtual screening of databased compounds.Areas covered: Herein, the authors consider some of the applications of SVMs in medicinal chemistry, illustrating their main advantages and disadvantages, as well as trends in their utilization, via the available published literature. The aim of this review is to provide an up-to-date review of the recent applications of SVMs in drug discovery as described by the literature, thereby highlighting their strengths, weaknesses, and future challenges.Expert opinion: Techniques based on SVMs are considered as powerful approaches in early drug discovery. The ability of SVMs to classify active or inactive compounds has enabled the prioritization of substances for virtual screening. Indeed, one of the main advantages of SVMs is related to their potential in the analysis of nonlinear problems. However, despite successes in employing SVMs, the challenges of improving accuracy remain.","container-title":"Expert Opinion on Drug Discovery","DOI":"10.1080/17460441.2019.1549033","ISSN":"1746-0441","issue":"1","note":"publisher: Taylor &amp; Francis\n_eprint: https://doi.org/10.1080/17460441.2019.1549033\nPMID: 30488731","page":"23-33","source":"Taylor and Francis+NEJM","title":"Advances with support vector machines for novel drug discovery","volume":"14","author":[{"family":"Maltarollo","given":"Vinicius Gonçalves"},{"family":"Kronenberger","given":"Thales"},{"family":"Espinoza","given":"Gabriel Zarzana"},{"family":"Oliveira","given":"Patricia Rufino"},{"family":"Honorio","given":"Kathia Maria"}],"issued":{"date-parts":[["2019",1,2]]}}},{"id":555,"uris":["http://zotero.org/users/local/WDtcWWSj/items/W3C9W8G4"],"uri":["http://zotero.org/users/local/WDtcWWSj/items/W3C9W8G4"],"itemData":{"id":555,"type":"book","abstract":"The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of","collection-title":"Information Science and Statistics","edition":"2","event-place":"New York","ISBN":"978-0-387-98780-4","language":"en","note":"DOI: 10.1007/978-1-4757-3264-1","publisher":"Springer-Verlag","publisher-place":"New York","source":"www.springer.com","title":"The Nature of Statistical Learning Theory","URL":"https://www.springer.com/gp/book/9780387987804","author":[{"family":"Vapnik","given":"Vladimir"}],"accessed":{"date-parts":[["2021",2,24]]},"issued":{"date-parts":[["2000"]]}}},{"id":490,"uris":["http://zotero.org/users/local/WDtcWWSj/items/SVFTNMAG"],"uri":["http://zotero.org/users/local/WDtcWWSj/items/SVFTNMAG"],"itemData":{"id":490,"type":"article-journal","abstract":"A new regression technique based on Vapnik's concept of support vectors is introduced. We compare support vector regression (SVR) with a committee regression technique (bagging) based on regression trees and ridge regression done in feature space. On the basis of these experiments, it is expected that SVR will have advantages in high dimensionality space because SVR optimization does not depend on the dimensionality of the input space.","language":"en","page":"7","source":"Zotero","title":"Support Vector Regression Machines","author":[{"family":"Drucker","given":"Harris"},{"family":"Burges","given":"Christopher J C"},{"family":"Kaufman","given":"Linda"},{"family":"Smola","given":"Alex J"},{"family":"Vapnik","given":"Vladimir"}]}}],"schema":"https://github.com/citation-style-language/schema/raw/master/csl-citation.json"} </w:instrText>
      </w:r>
      <w:r>
        <w:fldChar w:fldCharType="separate"/>
      </w:r>
      <w:r w:rsidRPr="00C92B3D">
        <w:rPr>
          <w:rFonts w:cs="Times New Roman"/>
          <w:vertAlign w:val="superscript"/>
        </w:rPr>
        <w:t>52–55</w:t>
      </w:r>
      <w:r>
        <w:fldChar w:fldCharType="end"/>
      </w:r>
      <w:r>
        <w:t xml:space="preserve"> The labels can be either categories (e.g., red or blue) in categorical problems or ranges of values (e.g., 2-4 or 4-8) in regression problems. One interesting feature of SMVs is that they make projections of the datapoints onto a higher-dimensional space (</w:t>
      </w:r>
      <w:r>
        <w:sym w:font="Symbol" w:char="F0B3"/>
      </w:r>
      <w:r>
        <w:t xml:space="preserve"> 2D) where one can linearly separate the data into groups using specific kernel functions, e.g., linear, polynomial or radial basis.</w:t>
      </w:r>
      <w:r>
        <w:fldChar w:fldCharType="begin"/>
      </w:r>
      <w:r>
        <w:instrText xml:space="preserve"> ADDIN ZOTERO_ITEM CSL_CITATION {"citationID":"q65BRd4f","properties":{"formattedCitation":"\\super 52\\uc0\\u8211{}55\\nosupersub{}","plainCitation":"52–55","noteIndex":0},"citationItems":[{"id":553,"uris":["http://zotero.org/users/local/WDtcWWSj/items/7LUG2Z8Q"],"uri":["http://zotero.org/users/local/WDtcWWSj/items/7LUG2Z8Q"],"itemData":{"id":553,"type":"article-journal","abstract":"The tetrahydroimidazo[4,5,1-jk][1,4]benzodiazepinone (TIBO) derivatives, as non-nucleoside reverse transcriptase inhibitors, acquire a significant place in the treatment of the infections by the HIV. In the present paper, the support vector machines (SVM) are used to develop quantitative relationships between the anti-HIV activity and four molecular descriptors of 82 TIBO derivatives. The results obtained by SVM give good statistical results compared to those given by multiple linear regressions and artificial neural networks. The contribution of each descriptor to structure-activity relationships was evaluated. It indicates the importance of the hydrophobic parameter. The proposed method can be successfully used to predict the anti-HIV of TIBO derivatives with only four molecular descriptors which can be calculated directly from molecular structure alone.","container-title":"European Journal of Medicinal Chemistry","DOI":"10.1016/j.ejmech.2010.01.002","ISSN":"0223-5234","issue":"4","journalAbbreviation":"European Journal of Medicinal Chemistry","language":"en","page":"1590-1597","source":"ScienceDirect","title":"Support vector machines: Development of QSAR models for predicting anti-HIV-1 activity of TIBO derivatives","title-short":"Support vector machines","volume":"45","author":[{"family":"Darnag","given":"Rachid"},{"family":"Mostapha Mazouz","given":"E. L."},{"family":"Schmitzer","given":"Andreea"},{"family":"Villemin","given":"Didier"},{"family":"Jarid","given":"Abdellah"},{"family":"Cherqaoui","given":"Driss"}],"issued":{"date-parts":[["2010",4,1]]}}},{"id":551,"uris":["http://zotero.org/users/local/WDtcWWSj/items/SZNHJ4ZP"],"uri":["http://zotero.org/users/local/WDtcWWSj/items/SZNHJ4ZP"],"itemData":{"id":551,"type":"article-journal","abstract":"Introduction: Novel drug discovery remains an enormous challenge, with various computer-aided drug design (CADD) approaches having been widely employed for this purpose. CADD, specifically the commonly used support vector machines (SVMs), can employ machine learning techniques. SVMs and their variations offer numerous drug discovery applications, which range from the classification of substances (as active or inactive) to the construction of regression models and the ranking/virtual screening of databased compounds.Areas covered: Herein, the authors consider some of the applications of SVMs in medicinal chemistry, illustrating their main advantages and disadvantages, as well as trends in their utilization, via the available published literature. The aim of this review is to provide an up-to-date review of the recent applications of SVMs in drug discovery as described by the literature, thereby highlighting their strengths, weaknesses, and future challenges.Expert opinion: Techniques based on SVMs are considered as powerful approaches in early drug discovery. The ability of SVMs to classify active or inactive compounds has enabled the prioritization of substances for virtual screening. Indeed, one of the main advantages of SVMs is related to their potential in the analysis of nonlinear problems. However, despite successes in employing SVMs, the challenges of improving accuracy remain.","container-title":"Expert Opinion on Drug Discovery","DOI":"10.1080/17460441.2019.1549033","ISSN":"1746-0441","issue":"1","note":"publisher: Taylor &amp; Francis\n_eprint: https://doi.org/10.1080/17460441.2019.1549033\nPMID: 30488731","page":"23-33","source":"Taylor and Francis+NEJM","title":"Advances with support vector machines for novel drug discovery","volume":"14","author":[{"family":"Maltarollo","given":"Vinicius Gonçalves"},{"family":"Kronenberger","given":"Thales"},{"family":"Espinoza","given":"Gabriel Zarzana"},{"family":"Oliveira","given":"Patricia Rufino"},{"family":"Honorio","given":"Kathia Maria"}],"issued":{"date-parts":[["2019",1,2]]}}},{"id":555,"uris":["http://zotero.org/users/local/WDtcWWSj/items/W3C9W8G4"],"uri":["http://zotero.org/users/local/WDtcWWSj/items/W3C9W8G4"],"itemData":{"id":555,"type":"book","abstract":"The aim of this book is to discuss the fundamental ideas which lie behind the statistical theory of learning and generalization. It considers learning as a general problem of function estimation based on empirical data. Omitting proofs and technical details, the author concentrates on discussing the main results of learning theory and their connections to fundamental problems in statistics. These include: * the setting of learning problems based on the model of minimizing the risk functional from empirical data * a comprehensive analysis of the empirical risk minimization principle including necessary and sufficient conditions for its consistency * non-asymptotic bounds for the risk achieved using the empirical risk minimization principle * principles for controlling the generalization ability of learning machines using small sample sizes based on these bounds * the Support Vector methods that control the generalization ability when estimating function using small sample size. The second edition of the book contains three new chapters devoted to further development of the learning theory and SVM techniques. These include: * the theory of direct method of learning based on solving multidimensional integral equations for density, conditional probability, and conditional density estimation * a new inductive principle of learning. Written in a readable and concise style, the book is intended for statisticians, mathematicians, physicists, and computer scientists. Vladimir N. Vapnik is Technology Leader AT&amp;T Labs-Research and Professor of London University. He is one of the founders of","collection-title":"Information Science and Statistics","edition":"2","event-place":"New York","ISBN":"978-0-387-98780-4","language":"en","note":"DOI: 10.1007/978-1-4757-3264-1","publisher":"Springer-Verlag","publisher-place":"New York","source":"www.springer.com","title":"The Nature of Statistical Learning Theory","URL":"https://www.springer.com/gp/book/9780387987804","author":[{"family":"Vapnik","given":"Vladimir"}],"accessed":{"date-parts":[["2021",2,24]]},"issued":{"date-parts":[["2000"]]}}},{"id":490,"uris":["http://zotero.org/users/local/WDtcWWSj/items/SVFTNMAG"],"uri":["http://zotero.org/users/local/WDtcWWSj/items/SVFTNMAG"],"itemData":{"id":490,"type":"article-journal","abstract":"A new regression technique based on Vapnik's concept of support vectors is introduced. We compare support vector regression (SVR) with a committee regression technique (bagging) based on regression trees and ridge regression done in feature space. On the basis of these experiments, it is expected that SVR will have advantages in high dimensionality space because SVR optimization does not depend on the dimensionality of the input space.","language":"en","page":"7","source":"Zotero","title":"Support Vector Regression Machines","author":[{"family":"Drucker","given":"Harris"},{"family":"Burges","given":"Christopher J C"},{"family":"Kaufman","given":"Linda"},{"family":"Smola","given":"Alex J"},{"family":"Vapnik","given":"Vladimir"}]}}],"schema":"https://github.com/citation-style-language/schema/raw/master/csl-citation.json"} </w:instrText>
      </w:r>
      <w:r>
        <w:fldChar w:fldCharType="separate"/>
      </w:r>
      <w:r w:rsidRPr="00C92B3D">
        <w:rPr>
          <w:rFonts w:cs="Times New Roman"/>
          <w:vertAlign w:val="superscript"/>
        </w:rPr>
        <w:t>52–55</w:t>
      </w:r>
      <w:r>
        <w:fldChar w:fldCharType="end"/>
      </w:r>
      <w:r>
        <w:t xml:space="preserve"> For the purposes of our exercise, we used the SVM package from scikit-learn</w:t>
      </w:r>
      <w:r>
        <w:fldChar w:fldCharType="begin"/>
      </w:r>
      <w:r>
        <w:instrText xml:space="preserve"> ADDIN ZOTERO_ITEM CSL_CITATION {"citationID":"I1znLC4L","properties":{"formattedCitation":"\\super 45\\nosupersub{}","plainCitation":"45","noteIndex":0},"citationItems":[{"id":115,"uris":["http://zotero.org/users/local/WDtcWWSj/items/K8X9B9DU"],"uri":["http://zotero.org/users/local/WDtcWWSj/items/K8X9B9DU"],"itemData":{"id":115,"type":"webpage","title":"scikit-learn: machine learning in Python — scikit-learn 0.22.1 documentation","URL":"https://scikit-learn.org/stable/","accessed":{"date-parts":[["2020",2,20]]}}}],"schema":"https://github.com/citation-style-language/schema/raw/master/csl-citation.json"} </w:instrText>
      </w:r>
      <w:r>
        <w:fldChar w:fldCharType="separate"/>
      </w:r>
      <w:r w:rsidRPr="00C92B3D">
        <w:rPr>
          <w:rFonts w:cs="Times New Roman"/>
          <w:vertAlign w:val="superscript"/>
        </w:rPr>
        <w:t>45</w:t>
      </w:r>
      <w:r>
        <w:fldChar w:fldCharType="end"/>
      </w:r>
      <w:r>
        <w:t xml:space="preserve"> applied to regression problems, called SVR. The parameters we tested and tuned in our SVM algorithm were: </w:t>
      </w:r>
      <w:proofErr w:type="spellStart"/>
      <w:r>
        <w:t>i</w:t>
      </w:r>
      <w:proofErr w:type="spellEnd"/>
      <w:r>
        <w:t>) the kernel function</w:t>
      </w:r>
      <w:r w:rsidRPr="00786FA6">
        <w:t>,</w:t>
      </w:r>
      <w:r>
        <w:t xml:space="preserve"> which specifies the kernel function to be used in the </w:t>
      </w:r>
      <w:proofErr w:type="spellStart"/>
      <w:r>
        <w:t>algortithm</w:t>
      </w:r>
      <w:proofErr w:type="spellEnd"/>
      <w:r>
        <w:t>;</w:t>
      </w:r>
      <w:r w:rsidRPr="00786FA6">
        <w:t xml:space="preserve"> </w:t>
      </w:r>
      <w:r>
        <w:t>ii) the epsilon (</w:t>
      </w:r>
      <w:r>
        <w:rPr>
          <w:lang w:val="el-GR"/>
        </w:rPr>
        <w:t>ε</w:t>
      </w:r>
      <w:r>
        <w:t>)</w:t>
      </w:r>
      <w:r w:rsidRPr="00731CF3">
        <w:t xml:space="preserve"> </w:t>
      </w:r>
      <w:r>
        <w:t xml:space="preserve">parameter, which specifies the range of values within which </w:t>
      </w:r>
      <w:r w:rsidRPr="0050602E">
        <w:t xml:space="preserve">no penalty </w:t>
      </w:r>
      <w:r>
        <w:t xml:space="preserve">is given </w:t>
      </w:r>
      <w:r w:rsidRPr="0050602E">
        <w:t xml:space="preserve">in the training loss function </w:t>
      </w:r>
      <w:r>
        <w:t>when data</w:t>
      </w:r>
      <w:r w:rsidRPr="0050602E">
        <w:t xml:space="preserve">points </w:t>
      </w:r>
      <w:r>
        <w:t xml:space="preserve">are </w:t>
      </w:r>
      <w:r w:rsidRPr="0050602E">
        <w:t>predicted within a distance epsilon from the actual value</w:t>
      </w:r>
      <w:r>
        <w:t>; and iii) the C parameter, which determines the influence of misclassification on the function. Lower C values cause the optimizer to look for larger-margin hyperplanes, whereas higher C values result in smaller-margin hyperplanes. The parameters and the results of the optimization are presented in the Supporting Information Spreadsheet</w:t>
      </w:r>
      <w:r w:rsidRPr="008D38F5">
        <w:t xml:space="preserve">. </w:t>
      </w:r>
    </w:p>
    <w:p w14:paraId="00FCD273" w14:textId="3871F810" w:rsidR="00FE09F0" w:rsidRPr="00786FA6" w:rsidRDefault="00FE09F0" w:rsidP="00FE09F0">
      <w:pPr>
        <w:pStyle w:val="Heading3"/>
        <w:rPr>
          <w:szCs w:val="22"/>
          <w:highlight w:val="yellow"/>
        </w:rPr>
      </w:pPr>
      <w:r>
        <w:t>Random Forest</w:t>
      </w:r>
    </w:p>
    <w:p w14:paraId="7E2242B1" w14:textId="77777777" w:rsidR="00FE09F0" w:rsidRDefault="00FE09F0" w:rsidP="00FE09F0">
      <w:r w:rsidRPr="00786FA6">
        <w:tab/>
        <w:t xml:space="preserve">Random Forest </w:t>
      </w:r>
      <w:r>
        <w:t xml:space="preserve">(RF) </w:t>
      </w:r>
      <w:r w:rsidRPr="00786FA6">
        <w:t>is a</w:t>
      </w:r>
      <w:r>
        <w:t xml:space="preserve"> supervised</w:t>
      </w:r>
      <w:r w:rsidRPr="00786FA6">
        <w:t xml:space="preserve"> machine learning algorithm </w:t>
      </w:r>
      <w:r>
        <w:t>that learns by creating a</w:t>
      </w:r>
      <w:r w:rsidRPr="00786FA6">
        <w:t xml:space="preserve"> multitude of decision trees</w:t>
      </w:r>
      <w:r>
        <w:t xml:space="preserve"> to solve a classification or a regression problem. In the case of a classification problem, the decision trees are built to distinguish between two or more categories </w:t>
      </w:r>
      <w:r>
        <w:lastRenderedPageBreak/>
        <w:t xml:space="preserve">(e.g., red, </w:t>
      </w:r>
      <w:proofErr w:type="gramStart"/>
      <w:r>
        <w:t>yellow</w:t>
      </w:r>
      <w:proofErr w:type="gramEnd"/>
      <w:r>
        <w:t xml:space="preserve"> or green). In regression problems, these categories can be ranges of values (e.g., 3-5 or 6-6) and the decision trees are used to calculate a specific value instead of predicting a category. The algorithm starts by randomly selecting a subset of observations from the dataset (hence the term “random”) and by creating a decision tree based on these observations. The process is then repeated multiple times creating a “forest” of decision trees, where every tree makes a prediction for a given datapoint. In classification problems, the output of the algorithm is the majority vote of all the individual tree predictions, whereas in regression problems the output of the algorithm is the average of all the predictions made by the individual trees.</w:t>
      </w:r>
      <w:r>
        <w:fldChar w:fldCharType="begin"/>
      </w:r>
      <w:r>
        <w:instrText xml:space="preserve"> ADDIN ZOTERO_ITEM CSL_CITATION {"citationID":"LxgAi0Fp","properties":{"formattedCitation":"\\super 56\\nosupersub{}","plainCitation":"56","noteIndex":0},"citationItems":[{"id":557,"uris":["http://zotero.org/users/local/WDtcWWSj/items/L4J7ZIG4"],"uri":["http://zotero.org/users/local/WDtcWWSj/items/L4J7ZIG4"],"itemData":{"id":557,"type":"article-journal","abstract":"The random forest algorithm, proposed by L. Breiman in 2001, has been extremely successful as a general-purpose classification and regression method. The approach, which combines several randomized decision trees and aggregates their predictions by averaging, has shown excellent performance in settings where the number of variables is much larger than the number of observations. Moreover, it is versatile enough to be applied to large-scale problems, is easily adapted to various ad hoc learning tasks, and returns measures of variable importance. The present article reviews the most recent theoretical and methodological developments for random forests. Emphasis is placed on the mathematical forces driving the algorithm, with special attention given to the selection of parameters, the resampling mechanism, and variable importance measures. This review is intended to provide non-experts easy access to the main ideas.","container-title":"TEST","DOI":"10.1007/s11749-016-0481-7","ISSN":"1863-8260","issue":"2","journalAbbreviation":"TEST","language":"en","page":"197-227","source":"Springer Link","title":"A random forest guided tour","volume":"25","author":[{"family":"Biau","given":"Gérard"},{"family":"Scornet","given":"Erwan"}],"issued":{"date-parts":[["2016",6,1]]}}}],"schema":"https://github.com/citation-style-language/schema/raw/master/csl-citation.json"} </w:instrText>
      </w:r>
      <w:r>
        <w:fldChar w:fldCharType="separate"/>
      </w:r>
      <w:r w:rsidRPr="00C92B3D">
        <w:rPr>
          <w:rFonts w:cs="Times New Roman"/>
          <w:vertAlign w:val="superscript"/>
        </w:rPr>
        <w:t>56</w:t>
      </w:r>
      <w:r>
        <w:fldChar w:fldCharType="end"/>
      </w:r>
      <w:r>
        <w:t xml:space="preserve"> For the purposes of our exercise, we used the random forest package from scikit-learn</w:t>
      </w:r>
      <w:r>
        <w:fldChar w:fldCharType="begin"/>
      </w:r>
      <w:r>
        <w:instrText xml:space="preserve"> ADDIN ZOTERO_ITEM CSL_CITATION {"citationID":"Pb7HKd48","properties":{"formattedCitation":"\\super 45\\nosupersub{}","plainCitation":"45","noteIndex":0},"citationItems":[{"id":115,"uris":["http://zotero.org/users/local/WDtcWWSj/items/K8X9B9DU"],"uri":["http://zotero.org/users/local/WDtcWWSj/items/K8X9B9DU"],"itemData":{"id":115,"type":"webpage","title":"scikit-learn: machine learning in Python — scikit-learn 0.22.1 documentation","URL":"https://scikit-learn.org/stable/","accessed":{"date-parts":[["2020",2,20]]}}}],"schema":"https://github.com/citation-style-language/schema/raw/master/csl-citation.json"} </w:instrText>
      </w:r>
      <w:r>
        <w:fldChar w:fldCharType="separate"/>
      </w:r>
      <w:r w:rsidRPr="00C92B3D">
        <w:rPr>
          <w:rFonts w:cs="Times New Roman"/>
          <w:vertAlign w:val="superscript"/>
        </w:rPr>
        <w:t>45</w:t>
      </w:r>
      <w:r>
        <w:fldChar w:fldCharType="end"/>
      </w:r>
      <w:r>
        <w:t xml:space="preserve">. The parameters we tested and tuned in our RF algorithm were: </w:t>
      </w:r>
      <w:proofErr w:type="spellStart"/>
      <w:r>
        <w:t>i</w:t>
      </w:r>
      <w:proofErr w:type="spellEnd"/>
      <w:r>
        <w:t>) the number of trees in the forest (</w:t>
      </w:r>
      <w:proofErr w:type="spellStart"/>
      <w:r>
        <w:t>n_estimators</w:t>
      </w:r>
      <w:proofErr w:type="spellEnd"/>
      <w:r>
        <w:t>), ii) whether bootstrap samples are used when building trees (bootstrap = True or False), iii) the maximum depth of the tree (</w:t>
      </w:r>
      <w:proofErr w:type="spellStart"/>
      <w:r>
        <w:t>max_depth</w:t>
      </w:r>
      <w:proofErr w:type="spellEnd"/>
      <w:r>
        <w:t>), iv) the maximum number of features to consider when looking for the best split (</w:t>
      </w:r>
      <w:proofErr w:type="spellStart"/>
      <w:r>
        <w:t>max_features</w:t>
      </w:r>
      <w:proofErr w:type="spellEnd"/>
      <w:r>
        <w:t>), vi) the minimum number of samples (</w:t>
      </w:r>
      <w:proofErr w:type="spellStart"/>
      <w:r>
        <w:t>min_samples_leaf</w:t>
      </w:r>
      <w:proofErr w:type="spellEnd"/>
      <w:r>
        <w:t>) required to be in leaf node, and the minimum number of samples required to split an internal node (</w:t>
      </w:r>
      <w:proofErr w:type="spellStart"/>
      <w:r>
        <w:t>min_samples_split</w:t>
      </w:r>
      <w:proofErr w:type="spellEnd"/>
      <w:r>
        <w:t>) (Supporting Information Spreadsheet).</w:t>
      </w:r>
    </w:p>
    <w:p w14:paraId="036573FF" w14:textId="07465508" w:rsidR="00FE09F0" w:rsidRPr="00786FA6" w:rsidRDefault="00FE09F0" w:rsidP="00FE09F0">
      <w:pPr>
        <w:pStyle w:val="Heading3"/>
        <w:rPr>
          <w:szCs w:val="22"/>
          <w:highlight w:val="yellow"/>
        </w:rPr>
      </w:pPr>
      <w:r>
        <w:t>Artificial Neural Network</w:t>
      </w:r>
    </w:p>
    <w:p w14:paraId="661FA7AB" w14:textId="77777777" w:rsidR="00FE09F0" w:rsidRPr="00E5126A" w:rsidRDefault="00FE09F0" w:rsidP="00FE09F0">
      <w:r w:rsidRPr="00786FA6">
        <w:tab/>
        <w:t>Artificial Neural Networks</w:t>
      </w:r>
      <w:r>
        <w:t xml:space="preserve"> (ANNs) are computing systems composed of a collection of interconnected nodes, called neurons. Each connection can be viewed as a synapse transmitting information from one node to another, </w:t>
      </w:r>
      <w:proofErr w:type="gramStart"/>
      <w:r>
        <w:t>similar to</w:t>
      </w:r>
      <w:proofErr w:type="gramEnd"/>
      <w:r>
        <w:t xml:space="preserve"> the neurons and synapses in the human brain</w:t>
      </w:r>
      <w:r w:rsidRPr="00786FA6">
        <w:t>.</w:t>
      </w:r>
      <w:r>
        <w:t xml:space="preserve"> Neurons are the core processing units of an ANN.</w:t>
      </w:r>
      <w:r>
        <w:fldChar w:fldCharType="begin"/>
      </w:r>
      <w:r>
        <w:instrText xml:space="preserve"> ADDIN ZOTERO_ITEM CSL_CITATION {"citationID":"a0qv8NJj","properties":{"formattedCitation":"\\super 57\\nosupersub{}","plainCitation":"57","noteIndex":0},"citationItems":[{"id":559,"uris":["http://zotero.org/users/local/WDtcWWSj/items/29YUYHRT"],"uri":["http://zotero.org/users/local/WDtcWWSj/items/29YUYHRT"],"itemData":{"id":559,"type":"webpage","abstract":"Through a series of recent breakthroughs, deep learning has boosted the entire field of machine learning. Now, even programmers who know close to nothing about this technology can use simple, … - Selection from Hands-On Machine Learning with Scikit-Learn, Keras, and TensorFlow, 2nd Edition [Book]","language":"en","title":"Hands-On Machine Learning with Scikit-Learn, Keras, and TensorFlow, 2nd Edition [Book]","URL":"https://www.oreilly.com/library/view/hands-on-machine-learning/9781492032632/","accessed":{"date-parts":[["2021",2,26]]}}}],"schema":"https://github.com/citation-style-language/schema/raw/master/csl-citation.json"} </w:instrText>
      </w:r>
      <w:r>
        <w:fldChar w:fldCharType="separate"/>
      </w:r>
      <w:r w:rsidRPr="00C92B3D">
        <w:rPr>
          <w:rFonts w:cs="Times New Roman"/>
          <w:vertAlign w:val="superscript"/>
        </w:rPr>
        <w:t>57</w:t>
      </w:r>
      <w:r>
        <w:fldChar w:fldCharType="end"/>
      </w:r>
      <w:r>
        <w:t xml:space="preserve"> They are used to build an input layer, which collects information from our input data, and an output layer which outputs the predictions of the model. In between the input and the output layer, exist the hidden layers which perform most of the computations in the network. The neurons of the first layer are connected to those of the </w:t>
      </w:r>
      <w:r>
        <w:lastRenderedPageBreak/>
        <w:t xml:space="preserve">second layer through channels and each channel is assigned a numerical value known as weights. The inputs of the first layer are then multiplied by the weights and their result is sent and to the neurons of the second layer (hidden layer). Each of these neurons are associated with a certain value known as biases which are added to the inputs from the first layer. This information passes then through a function, called activation function, which then determines whether the neuron will be activated. Some examples of activation functions are sigmoid, </w:t>
      </w:r>
      <w:proofErr w:type="gramStart"/>
      <w:r>
        <w:t>exponential</w:t>
      </w:r>
      <w:proofErr w:type="gramEnd"/>
      <w:r>
        <w:t xml:space="preserve"> and rectified linear unit. This process is repeated for every layer until we reach the output layer which gives out the prediction of the model. This process is known as forward propagation. The model then compares the generated prediction to the input datapoint and returns to the hidden layers to adjust the weights and biases so that the predictions match the inputs. This process is known as backpropagation. During training, the processes of forward propagation and backpropagation are repeated multiple times and each cycle is called an epoch.</w:t>
      </w:r>
      <w:r>
        <w:fldChar w:fldCharType="begin"/>
      </w:r>
      <w:r>
        <w:instrText xml:space="preserve"> ADDIN ZOTERO_ITEM CSL_CITATION {"citationID":"xEdyBYpp","properties":{"formattedCitation":"\\super 57\\nosupersub{}","plainCitation":"57","noteIndex":0},"citationItems":[{"id":559,"uris":["http://zotero.org/users/local/WDtcWWSj/items/29YUYHRT"],"uri":["http://zotero.org/users/local/WDtcWWSj/items/29YUYHRT"],"itemData":{"id":559,"type":"webpage","abstract":"Through a series of recent breakthroughs, deep learning has boosted the entire field of machine learning. Now, even programmers who know close to nothing about this technology can use simple, … - Selection from Hands-On Machine Learning with Scikit-Learn, Keras, and TensorFlow, 2nd Edition [Book]","language":"en","title":"Hands-On Machine Learning with Scikit-Learn, Keras, and TensorFlow, 2nd Edition [Book]","URL":"https://www.oreilly.com/library/view/hands-on-machine-learning/9781492032632/","accessed":{"date-parts":[["2021",2,26]]}}}],"schema":"https://github.com/citation-style-language/schema/raw/master/csl-citation.json"} </w:instrText>
      </w:r>
      <w:r>
        <w:fldChar w:fldCharType="separate"/>
      </w:r>
      <w:r w:rsidRPr="00C92B3D">
        <w:rPr>
          <w:rFonts w:cs="Times New Roman"/>
          <w:vertAlign w:val="superscript"/>
        </w:rPr>
        <w:t>57</w:t>
      </w:r>
      <w:r>
        <w:fldChar w:fldCharType="end"/>
      </w:r>
      <w:r>
        <w:t xml:space="preserve"> For the purposes of our exercise, we used the Tensorflow</w:t>
      </w:r>
      <w:r>
        <w:fldChar w:fldCharType="begin"/>
      </w:r>
      <w:r>
        <w:instrText xml:space="preserve"> ADDIN ZOTERO_ITEM CSL_CITATION {"citationID":"6cg4elkX","properties":{"formattedCitation":"\\super 46\\nosupersub{}","plainCitation":"46","noteIndex":0},"citationItems":[{"id":52,"uris":["http://zotero.org/users/local/WDtcWWSj/items/PQQVXEXR"],"uri":["http://zotero.org/users/local/WDtcWWSj/items/PQQVXEXR"],"itemData":{"id":52,"type":"webpage","abstract":"An end-to-end open source machine learning platform","container-title":"TensorFlow","language":"en","title":"TensorFlow","URL":"https://www.tensorflow.org/","accessed":{"date-parts":[["2020",2,17]]}}}],"schema":"https://github.com/citation-style-language/schema/raw/master/csl-citation.json"} </w:instrText>
      </w:r>
      <w:r>
        <w:fldChar w:fldCharType="separate"/>
      </w:r>
      <w:r w:rsidRPr="00C92B3D">
        <w:rPr>
          <w:rFonts w:cs="Times New Roman"/>
          <w:vertAlign w:val="superscript"/>
        </w:rPr>
        <w:t>46</w:t>
      </w:r>
      <w:r>
        <w:fldChar w:fldCharType="end"/>
      </w:r>
      <w:r>
        <w:t xml:space="preserve"> platform to build the ANN and we </w:t>
      </w:r>
      <w:r w:rsidRPr="00786FA6">
        <w:t xml:space="preserve">tested </w:t>
      </w:r>
      <w:r>
        <w:t>(</w:t>
      </w:r>
      <w:proofErr w:type="spellStart"/>
      <w:r>
        <w:t>i</w:t>
      </w:r>
      <w:proofErr w:type="spellEnd"/>
      <w:r>
        <w:t xml:space="preserve">) </w:t>
      </w:r>
      <w:r w:rsidRPr="00786FA6">
        <w:t xml:space="preserve">variations in number of layers, </w:t>
      </w:r>
      <w:r>
        <w:t xml:space="preserve">(ii) </w:t>
      </w:r>
      <w:r w:rsidRPr="00786FA6">
        <w:t>number of nodes per layer,</w:t>
      </w:r>
      <w:r>
        <w:t xml:space="preserve"> (iii)</w:t>
      </w:r>
      <w:r w:rsidRPr="00786FA6">
        <w:t xml:space="preserve"> activation functions,</w:t>
      </w:r>
      <w:r>
        <w:t xml:space="preserve"> (iv) </w:t>
      </w:r>
      <w:r w:rsidRPr="00786FA6">
        <w:t>dropout layer</w:t>
      </w:r>
      <w:r>
        <w:t>, which is an extra layer meant to remove (dropout) unnecessary channels between nodes created during the training to avoid overfitting, (v) training</w:t>
      </w:r>
      <w:r w:rsidRPr="00786FA6">
        <w:t xml:space="preserve"> optimizer</w:t>
      </w:r>
      <w:r>
        <w:t>, which the algorithm used in the optimization of the model during the processes of forward propagation and backpropagation,</w:t>
      </w:r>
      <w:r w:rsidRPr="00786FA6">
        <w:t xml:space="preserve"> and </w:t>
      </w:r>
      <w:r>
        <w:t xml:space="preserve">(vi) </w:t>
      </w:r>
      <w:r w:rsidRPr="00786FA6">
        <w:t>optimizing step</w:t>
      </w:r>
      <w:r>
        <w:t>, which is the step at which the optimizer operates. The parameters and settings for each model together with the results of the optimization process are presented in the Supporting Information Spreadsheet.</w:t>
      </w:r>
    </w:p>
    <w:p w14:paraId="777B8FBA" w14:textId="77777777" w:rsidR="00FE09F0" w:rsidRDefault="00FE09F0" w:rsidP="00BB4A38"/>
    <w:p w14:paraId="158BBAA8" w14:textId="77777777" w:rsidR="00FE09F0" w:rsidRDefault="00FE09F0" w:rsidP="00BB4A38"/>
    <w:p w14:paraId="649B041E" w14:textId="29F9DDD3" w:rsidR="00AA4C45" w:rsidRDefault="00AA4C45" w:rsidP="00BB4A38"/>
    <w:p w14:paraId="5FD72557" w14:textId="77777777" w:rsidR="00AA4C45" w:rsidRPr="00786FA6" w:rsidRDefault="00AA4C45" w:rsidP="00AA4C45">
      <w:r w:rsidRPr="009B09DA">
        <w:rPr>
          <w:noProof/>
        </w:rPr>
        <w:lastRenderedPageBreak/>
        <w:drawing>
          <wp:inline distT="0" distB="0" distL="0" distR="0" wp14:anchorId="7C072FFF" wp14:editId="3ECD0F09">
            <wp:extent cx="4491997" cy="3149600"/>
            <wp:effectExtent l="0" t="0" r="381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rotWithShape="1">
                    <a:blip r:embed="rId5" cstate="screen">
                      <a:extLst>
                        <a:ext uri="{28A0092B-C50C-407E-A947-70E740481C1C}">
                          <a14:useLocalDpi xmlns:a14="http://schemas.microsoft.com/office/drawing/2010/main"/>
                        </a:ext>
                      </a:extLst>
                    </a:blip>
                    <a:srcRect/>
                    <a:stretch/>
                  </pic:blipFill>
                  <pic:spPr bwMode="auto">
                    <a:xfrm>
                      <a:off x="0" y="0"/>
                      <a:ext cx="4557531" cy="3195550"/>
                    </a:xfrm>
                    <a:prstGeom prst="rect">
                      <a:avLst/>
                    </a:prstGeom>
                    <a:ln>
                      <a:noFill/>
                    </a:ln>
                    <a:extLst>
                      <a:ext uri="{53640926-AAD7-44D8-BBD7-CCE9431645EC}">
                        <a14:shadowObscured xmlns:a14="http://schemas.microsoft.com/office/drawing/2010/main"/>
                      </a:ext>
                    </a:extLst>
                  </pic:spPr>
                </pic:pic>
              </a:graphicData>
            </a:graphic>
          </wp:inline>
        </w:drawing>
      </w:r>
    </w:p>
    <w:p w14:paraId="5BC05199" w14:textId="130255FE" w:rsidR="00AA4C45" w:rsidRPr="00A94C52" w:rsidRDefault="00AA4C45" w:rsidP="00AA4C45">
      <w:pPr>
        <w:rPr>
          <w:b/>
        </w:rPr>
      </w:pPr>
      <w:r w:rsidRPr="00786FA6">
        <w:t>Fig</w:t>
      </w:r>
      <w:r>
        <w:t>ure S1:</w:t>
      </w:r>
      <w:r w:rsidRPr="00786FA6">
        <w:t xml:space="preserve"> Distribution of </w:t>
      </w:r>
      <w:r>
        <w:t>log</w:t>
      </w:r>
      <w:r w:rsidRPr="00786FA6">
        <w:t xml:space="preserve"> </w:t>
      </w:r>
      <w:r w:rsidRPr="00611617">
        <w:rPr>
          <w:i/>
          <w:iCs/>
        </w:rPr>
        <w:t>R</w:t>
      </w:r>
      <w:r w:rsidRPr="00731E1A">
        <w:rPr>
          <w:vertAlign w:val="subscript"/>
        </w:rPr>
        <w:t>CM</w:t>
      </w:r>
      <w:r>
        <w:t xml:space="preserve"> values (central tendency) in the compiled database with descriptive statistics.</w:t>
      </w:r>
    </w:p>
    <w:p w14:paraId="71BFA2D8" w14:textId="5BC6A270" w:rsidR="00AA4C45" w:rsidRDefault="00AA4C45" w:rsidP="00BB4A38"/>
    <w:p w14:paraId="6E52782E" w14:textId="77777777" w:rsidR="00FE3EA4" w:rsidRDefault="00FE3EA4" w:rsidP="00BB4A38"/>
    <w:p w14:paraId="47D2B1C1" w14:textId="77777777" w:rsidR="00BB4A38" w:rsidRDefault="00BB4A38" w:rsidP="00BB4A38">
      <w:r w:rsidRPr="00A64E94">
        <w:rPr>
          <w:noProof/>
        </w:rPr>
        <w:lastRenderedPageBreak/>
        <w:drawing>
          <wp:inline distT="0" distB="0" distL="0" distR="0" wp14:anchorId="2B4E9C7B" wp14:editId="01D5DE33">
            <wp:extent cx="5969120" cy="3731019"/>
            <wp:effectExtent l="0" t="0" r="0" b="317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rotWithShape="1">
                    <a:blip r:embed="rId6" cstate="screen">
                      <a:extLst>
                        <a:ext uri="{28A0092B-C50C-407E-A947-70E740481C1C}">
                          <a14:useLocalDpi xmlns:a14="http://schemas.microsoft.com/office/drawing/2010/main"/>
                        </a:ext>
                      </a:extLst>
                    </a:blip>
                    <a:srcRect/>
                    <a:stretch/>
                  </pic:blipFill>
                  <pic:spPr bwMode="auto">
                    <a:xfrm>
                      <a:off x="0" y="0"/>
                      <a:ext cx="5969120" cy="3731019"/>
                    </a:xfrm>
                    <a:prstGeom prst="rect">
                      <a:avLst/>
                    </a:prstGeom>
                    <a:ln>
                      <a:noFill/>
                    </a:ln>
                    <a:extLst>
                      <a:ext uri="{53640926-AAD7-44D8-BBD7-CCE9431645EC}">
                        <a14:shadowObscured xmlns:a14="http://schemas.microsoft.com/office/drawing/2010/main"/>
                      </a:ext>
                    </a:extLst>
                  </pic:spPr>
                </pic:pic>
              </a:graphicData>
            </a:graphic>
          </wp:inline>
        </w:drawing>
      </w:r>
    </w:p>
    <w:p w14:paraId="66689D1F" w14:textId="1813750D" w:rsidR="009C5CC1" w:rsidRDefault="00BB4A38" w:rsidP="009C5CC1">
      <w:r>
        <w:t>Figure S</w:t>
      </w:r>
      <w:r w:rsidR="00AA4C45">
        <w:t>2</w:t>
      </w:r>
      <w:r>
        <w:t>: Number of participants in each study used in the compiled database presented by chemical category.</w:t>
      </w:r>
      <w:r w:rsidR="009C5CC1" w:rsidRPr="009C5CC1">
        <w:t xml:space="preserve"> </w:t>
      </w:r>
      <w:r w:rsidR="009C5CC1">
        <w:t xml:space="preserve">The number of participants in the collected studies ranged from 1 to 1000s with </w:t>
      </w:r>
      <w:proofErr w:type="gramStart"/>
      <w:r w:rsidR="009C5CC1">
        <w:t>the majority of</w:t>
      </w:r>
      <w:proofErr w:type="gramEnd"/>
      <w:r w:rsidR="009C5CC1">
        <w:t xml:space="preserve"> the studies being in the 10 to 100 participant range. Some of the chemical categories with the highest number of participants were thyroid hormones, plasticizers, phthalates and PFAS.</w:t>
      </w:r>
    </w:p>
    <w:p w14:paraId="23108204" w14:textId="4B58A81F" w:rsidR="00BB4A38" w:rsidRDefault="00BB4A38"/>
    <w:p w14:paraId="0E244EC5" w14:textId="21EE83CE" w:rsidR="00BB4A38" w:rsidRDefault="00BB4A38"/>
    <w:p w14:paraId="5C46527A" w14:textId="77777777" w:rsidR="00BB4A38" w:rsidRDefault="00BB4A38" w:rsidP="00BB4A38">
      <w:r w:rsidRPr="002F4CA2">
        <w:rPr>
          <w:noProof/>
        </w:rPr>
        <w:lastRenderedPageBreak/>
        <w:drawing>
          <wp:inline distT="0" distB="0" distL="0" distR="0" wp14:anchorId="23732CEF" wp14:editId="148F9C40">
            <wp:extent cx="6709004" cy="2051523"/>
            <wp:effectExtent l="0" t="0" r="0" b="635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rotWithShape="1">
                    <a:blip r:embed="rId7" cstate="screen">
                      <a:extLst>
                        <a:ext uri="{28A0092B-C50C-407E-A947-70E740481C1C}">
                          <a14:useLocalDpi xmlns:a14="http://schemas.microsoft.com/office/drawing/2010/main"/>
                        </a:ext>
                      </a:extLst>
                    </a:blip>
                    <a:srcRect/>
                    <a:stretch/>
                  </pic:blipFill>
                  <pic:spPr bwMode="auto">
                    <a:xfrm>
                      <a:off x="0" y="0"/>
                      <a:ext cx="6726978" cy="2057019"/>
                    </a:xfrm>
                    <a:prstGeom prst="rect">
                      <a:avLst/>
                    </a:prstGeom>
                    <a:ln>
                      <a:noFill/>
                    </a:ln>
                    <a:extLst>
                      <a:ext uri="{53640926-AAD7-44D8-BBD7-CCE9431645EC}">
                        <a14:shadowObscured xmlns:a14="http://schemas.microsoft.com/office/drawing/2010/main"/>
                      </a:ext>
                    </a:extLst>
                  </pic:spPr>
                </pic:pic>
              </a:graphicData>
            </a:graphic>
          </wp:inline>
        </w:drawing>
      </w:r>
    </w:p>
    <w:p w14:paraId="10D701F7" w14:textId="2E05A66E" w:rsidR="00BB4A38" w:rsidRPr="00707490" w:rsidRDefault="00BB4A38" w:rsidP="00BB4A38">
      <w:r>
        <w:t>Figure S</w:t>
      </w:r>
      <w:r w:rsidR="00AA4C45">
        <w:t>3</w:t>
      </w:r>
      <w:r>
        <w:t>: Principal component analysis (A) and chemical space plots (B and C) for the compiled maternal-cord database (</w:t>
      </w:r>
      <w:r w:rsidRPr="008D561E">
        <w:rPr>
          <w:i/>
          <w:iCs/>
        </w:rPr>
        <w:t>R</w:t>
      </w:r>
      <w:r w:rsidRPr="008D561E">
        <w:rPr>
          <w:vertAlign w:val="subscript"/>
        </w:rPr>
        <w:t>CM</w:t>
      </w:r>
      <w:r>
        <w:t xml:space="preserve">) and for the PFAS database from EPA’s </w:t>
      </w:r>
      <w:proofErr w:type="spellStart"/>
      <w:r>
        <w:t>CompTox</w:t>
      </w:r>
      <w:proofErr w:type="spellEnd"/>
      <w:r>
        <w:t xml:space="preserve"> Chemicals Dashboard (PFAS master list v2). The plots show the principal components 1, 2 and 3 of the Mordred physicochemical properties of the chemicals in the </w:t>
      </w:r>
      <w:r w:rsidRPr="00223100">
        <w:rPr>
          <w:i/>
          <w:iCs/>
        </w:rPr>
        <w:t>R</w:t>
      </w:r>
      <w:r w:rsidRPr="00223100">
        <w:rPr>
          <w:vertAlign w:val="subscript"/>
        </w:rPr>
        <w:t>CM</w:t>
      </w:r>
      <w:r>
        <w:t xml:space="preserve"> database (n=264) and in the PFAS database (n=7,986).</w:t>
      </w:r>
    </w:p>
    <w:p w14:paraId="5AF0A066" w14:textId="78BFEAD6" w:rsidR="00BB4A38" w:rsidRDefault="00BB4A38"/>
    <w:p w14:paraId="75A10F39" w14:textId="3ED1E4BC" w:rsidR="00AF0A85" w:rsidRDefault="00AF0A85"/>
    <w:p w14:paraId="1540D0D9" w14:textId="7298D26C" w:rsidR="00AF0A85" w:rsidRDefault="00AF0A85"/>
    <w:p w14:paraId="6BCD5EE9" w14:textId="40BEFD37" w:rsidR="00AF0A85" w:rsidRDefault="00AF0A85"/>
    <w:p w14:paraId="7A050875" w14:textId="2E227CC5" w:rsidR="00AF0A85" w:rsidRDefault="00AF0A85"/>
    <w:p w14:paraId="76684462" w14:textId="77777777" w:rsidR="00AF0A85" w:rsidRDefault="00AF0A85" w:rsidP="00AF0A85">
      <w:r w:rsidRPr="00A7640E">
        <w:rPr>
          <w:noProof/>
        </w:rPr>
        <w:lastRenderedPageBreak/>
        <w:drawing>
          <wp:inline distT="0" distB="0" distL="0" distR="0" wp14:anchorId="3A1857B1" wp14:editId="52E90029">
            <wp:extent cx="6157608" cy="3071270"/>
            <wp:effectExtent l="0" t="0" r="1905" b="254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6178570" cy="3081725"/>
                    </a:xfrm>
                    <a:prstGeom prst="rect">
                      <a:avLst/>
                    </a:prstGeom>
                    <a:ln>
                      <a:noFill/>
                    </a:ln>
                    <a:extLst>
                      <a:ext uri="{53640926-AAD7-44D8-BBD7-CCE9431645EC}">
                        <a14:shadowObscured xmlns:a14="http://schemas.microsoft.com/office/drawing/2010/main"/>
                      </a:ext>
                    </a:extLst>
                  </pic:spPr>
                </pic:pic>
              </a:graphicData>
            </a:graphic>
          </wp:inline>
        </w:drawing>
      </w:r>
    </w:p>
    <w:p w14:paraId="191447EF" w14:textId="01CC9B60" w:rsidR="00AF0A85" w:rsidRDefault="00AF0A85" w:rsidP="00AF0A85">
      <w:r>
        <w:t xml:space="preserve">Figure </w:t>
      </w:r>
      <w:r w:rsidR="0093202C">
        <w:t>S4</w:t>
      </w:r>
      <w:r>
        <w:t>: Chemical space plots using kernel density estimations for the compounds in the compiled maternal-cord database (</w:t>
      </w:r>
      <w:r w:rsidRPr="00C46707">
        <w:rPr>
          <w:i/>
          <w:iCs/>
        </w:rPr>
        <w:t>R</w:t>
      </w:r>
      <w:r w:rsidRPr="00C46707">
        <w:rPr>
          <w:vertAlign w:val="subscript"/>
        </w:rPr>
        <w:t>CM</w:t>
      </w:r>
      <w:r>
        <w:t xml:space="preserve">) and for the PFAS database from EPA’s </w:t>
      </w:r>
      <w:proofErr w:type="spellStart"/>
      <w:r>
        <w:t>CompTox</w:t>
      </w:r>
      <w:proofErr w:type="spellEnd"/>
      <w:r>
        <w:t xml:space="preserve"> Chemicals Dashboard (PFAS master list v2). Plot (A) shows PC1 and PC2 and plot (B) shows PC1 and PC3 of the Mordred physicochemical properties of the chemicals in the </w:t>
      </w:r>
      <w:r w:rsidRPr="00223100">
        <w:rPr>
          <w:i/>
          <w:iCs/>
        </w:rPr>
        <w:t>R</w:t>
      </w:r>
      <w:r w:rsidRPr="00223100">
        <w:rPr>
          <w:vertAlign w:val="subscript"/>
        </w:rPr>
        <w:t>CM</w:t>
      </w:r>
      <w:r>
        <w:t xml:space="preserve"> database (n=264) and in the PFAS database (n=7,986).</w:t>
      </w:r>
    </w:p>
    <w:p w14:paraId="7C196C9A" w14:textId="77777777" w:rsidR="00AF0A85" w:rsidRDefault="00AF0A85"/>
    <w:sectPr w:rsidR="00AF0A85" w:rsidSect="00E9777C">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38"/>
    <w:rsid w:val="00051249"/>
    <w:rsid w:val="006A554A"/>
    <w:rsid w:val="007B119A"/>
    <w:rsid w:val="0093202C"/>
    <w:rsid w:val="009C5CC1"/>
    <w:rsid w:val="00AA4C45"/>
    <w:rsid w:val="00AF0A85"/>
    <w:rsid w:val="00BB4A38"/>
    <w:rsid w:val="00E70319"/>
    <w:rsid w:val="00E9777C"/>
    <w:rsid w:val="00FE09F0"/>
    <w:rsid w:val="00FE3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D2581A"/>
  <w15:chartTrackingRefBased/>
  <w15:docId w15:val="{BE855CBB-720A-7145-A680-849B948E8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A38"/>
    <w:pPr>
      <w:spacing w:line="480" w:lineRule="auto"/>
    </w:pPr>
    <w:rPr>
      <w:rFonts w:ascii="Times New Roman" w:hAnsi="Times New Roman"/>
    </w:rPr>
  </w:style>
  <w:style w:type="paragraph" w:styleId="Heading2">
    <w:name w:val="heading 2"/>
    <w:basedOn w:val="Normal"/>
    <w:next w:val="Normal"/>
    <w:link w:val="Heading2Char"/>
    <w:uiPriority w:val="9"/>
    <w:unhideWhenUsed/>
    <w:qFormat/>
    <w:rsid w:val="006A554A"/>
    <w:pPr>
      <w:keepNext/>
      <w:keepLines/>
      <w:spacing w:before="40"/>
      <w:outlineLvl w:val="1"/>
    </w:pPr>
    <w:rPr>
      <w:rFonts w:eastAsiaTheme="majorEastAsia" w:cstheme="majorBidi"/>
      <w:color w:val="0070C0"/>
      <w:sz w:val="28"/>
      <w:szCs w:val="26"/>
    </w:rPr>
  </w:style>
  <w:style w:type="paragraph" w:styleId="Heading3">
    <w:name w:val="heading 3"/>
    <w:basedOn w:val="Normal"/>
    <w:next w:val="Normal"/>
    <w:link w:val="Heading3Char"/>
    <w:uiPriority w:val="9"/>
    <w:unhideWhenUsed/>
    <w:qFormat/>
    <w:rsid w:val="00FE09F0"/>
    <w:pPr>
      <w:keepNext/>
      <w:keepLines/>
      <w:spacing w:before="320" w:after="80"/>
      <w:outlineLvl w:val="2"/>
    </w:pPr>
    <w:rPr>
      <w:rFonts w:eastAsia="Arial" w:cs="Arial"/>
      <w:color w:val="0070C0"/>
      <w:szCs w:val="28"/>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A38"/>
    <w:pPr>
      <w:keepNext/>
      <w:keepLines/>
      <w:spacing w:after="60"/>
    </w:pPr>
    <w:rPr>
      <w:rFonts w:eastAsia="Arial" w:cs="Arial"/>
      <w:color w:val="0070C0"/>
      <w:sz w:val="32"/>
      <w:szCs w:val="52"/>
      <w:lang w:val="en"/>
    </w:rPr>
  </w:style>
  <w:style w:type="character" w:customStyle="1" w:styleId="TitleChar">
    <w:name w:val="Title Char"/>
    <w:basedOn w:val="DefaultParagraphFont"/>
    <w:link w:val="Title"/>
    <w:uiPriority w:val="10"/>
    <w:rsid w:val="00BB4A38"/>
    <w:rPr>
      <w:rFonts w:ascii="Times New Roman" w:eastAsia="Arial" w:hAnsi="Times New Roman" w:cs="Arial"/>
      <w:color w:val="0070C0"/>
      <w:sz w:val="32"/>
      <w:szCs w:val="52"/>
      <w:lang w:val="en"/>
    </w:rPr>
  </w:style>
  <w:style w:type="character" w:styleId="Hyperlink">
    <w:name w:val="Hyperlink"/>
    <w:basedOn w:val="DefaultParagraphFont"/>
    <w:uiPriority w:val="99"/>
    <w:unhideWhenUsed/>
    <w:rsid w:val="00BB4A38"/>
    <w:rPr>
      <w:color w:val="0563C1" w:themeColor="hyperlink"/>
      <w:u w:val="single"/>
    </w:rPr>
  </w:style>
  <w:style w:type="character" w:customStyle="1" w:styleId="Heading3Char">
    <w:name w:val="Heading 3 Char"/>
    <w:basedOn w:val="DefaultParagraphFont"/>
    <w:link w:val="Heading3"/>
    <w:uiPriority w:val="9"/>
    <w:rsid w:val="00FE09F0"/>
    <w:rPr>
      <w:rFonts w:ascii="Times New Roman" w:eastAsia="Arial" w:hAnsi="Times New Roman" w:cs="Arial"/>
      <w:color w:val="0070C0"/>
      <w:szCs w:val="28"/>
      <w:lang w:val="en"/>
    </w:rPr>
  </w:style>
  <w:style w:type="character" w:customStyle="1" w:styleId="Heading2Char">
    <w:name w:val="Heading 2 Char"/>
    <w:basedOn w:val="DefaultParagraphFont"/>
    <w:link w:val="Heading2"/>
    <w:uiPriority w:val="9"/>
    <w:rsid w:val="006A554A"/>
    <w:rPr>
      <w:rFonts w:ascii="Times New Roman" w:eastAsiaTheme="majorEastAsia" w:hAnsi="Times New Roman" w:cstheme="majorBidi"/>
      <w:color w:val="0070C0"/>
      <w:sz w:val="28"/>
      <w:szCs w:val="26"/>
    </w:rPr>
  </w:style>
  <w:style w:type="character" w:styleId="LineNumber">
    <w:name w:val="line number"/>
    <w:basedOn w:val="DefaultParagraphFont"/>
    <w:uiPriority w:val="99"/>
    <w:semiHidden/>
    <w:unhideWhenUsed/>
    <w:rsid w:val="00E97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hyperlink" Target="mailto:tracey.woodruff@ucsf.edu"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4822</Words>
  <Characters>28019</Characters>
  <Application>Microsoft Office Word</Application>
  <DocSecurity>0</DocSecurity>
  <Lines>560</Lines>
  <Paragraphs>42</Paragraphs>
  <ScaleCrop>false</ScaleCrop>
  <Company/>
  <LinksUpToDate>false</LinksUpToDate>
  <CharactersWithSpaces>32799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 Abrahamsson</dc:creator>
  <cp:keywords/>
  <dc:description/>
  <cp:lastModifiedBy>Abrahamsson, Dimitri</cp:lastModifiedBy>
  <cp:revision>10</cp:revision>
  <dcterms:created xsi:type="dcterms:W3CDTF">2021-04-09T19:47:00Z</dcterms:created>
  <dcterms:modified xsi:type="dcterms:W3CDTF">2021-10-19T00:18:00Z</dcterms:modified>
</cp:coreProperties>
</file>